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8D" w:rsidRDefault="006F1E45">
      <w:pPr>
        <w:pStyle w:val="BodyA"/>
        <w:rPr>
          <w:b/>
          <w:bCs/>
        </w:rPr>
      </w:pPr>
      <w:r>
        <w:rPr>
          <w:b/>
          <w:bCs/>
        </w:rPr>
        <w:t xml:space="preserve">      Vermont Psychoanalytic Study Group:  Component Group of the IPA</w:t>
      </w:r>
    </w:p>
    <w:p w:rsidR="00A27B8D" w:rsidRDefault="006F1E45">
      <w:pPr>
        <w:pStyle w:val="BodyA"/>
        <w:rPr>
          <w:b/>
          <w:bCs/>
        </w:rPr>
      </w:pPr>
      <w:r>
        <w:t xml:space="preserve">                                 </w:t>
      </w:r>
      <w:r>
        <w:rPr>
          <w:b/>
          <w:bCs/>
        </w:rPr>
        <w:t>VPSG Seminar Series 2010-2011</w:t>
      </w:r>
    </w:p>
    <w:p w:rsidR="00A27B8D" w:rsidRDefault="006F1E45">
      <w:pPr>
        <w:pStyle w:val="BodyA"/>
      </w:pPr>
      <w:r>
        <w:t xml:space="preserve">         </w:t>
      </w:r>
      <w:r>
        <w:t xml:space="preserve">            Meeting 2nd and 4th Wednesdays October-May </w:t>
      </w:r>
    </w:p>
    <w:p w:rsidR="00A27B8D" w:rsidRDefault="006F1E45">
      <w:pPr>
        <w:pStyle w:val="BodyA"/>
        <w:rPr>
          <w:b/>
          <w:bCs/>
        </w:rPr>
      </w:pPr>
      <w:r>
        <w:t xml:space="preserve">                               </w:t>
      </w:r>
      <w:r>
        <w:rPr>
          <w:b/>
          <w:bCs/>
        </w:rPr>
        <w:t xml:space="preserve">     Series of 14 sessions: $600</w:t>
      </w:r>
    </w:p>
    <w:p w:rsidR="00A27B8D" w:rsidRDefault="006F1E45">
      <w:pPr>
        <w:pStyle w:val="BodyA"/>
        <w:rPr>
          <w:b/>
          <w:bCs/>
        </w:rPr>
      </w:pPr>
      <w:r>
        <w:rPr>
          <w:b/>
          <w:bCs/>
        </w:rPr>
        <w:t xml:space="preserve">                   Seminar location Essex with some meetings in Burlington</w:t>
      </w:r>
    </w:p>
    <w:p w:rsidR="00A27B8D" w:rsidRDefault="006F1E45">
      <w:pPr>
        <w:pStyle w:val="BodyA"/>
        <w:rPr>
          <w:b/>
          <w:bCs/>
        </w:rPr>
      </w:pPr>
      <w:r>
        <w:rPr>
          <w:b/>
          <w:bCs/>
        </w:rPr>
        <w:t xml:space="preserve">                                 Seminar Co-coordinator Sharo</w:t>
      </w:r>
      <w:r>
        <w:rPr>
          <w:b/>
          <w:bCs/>
        </w:rPr>
        <w:t>n Dennett</w:t>
      </w:r>
    </w:p>
    <w:p w:rsidR="00A27B8D" w:rsidRDefault="00A27B8D">
      <w:pPr>
        <w:pStyle w:val="BodyA"/>
      </w:pPr>
    </w:p>
    <w:p w:rsidR="00A27B8D" w:rsidRDefault="006F1E45">
      <w:pPr>
        <w:pStyle w:val="BodyA"/>
      </w:pPr>
      <w:r>
        <w:t xml:space="preserve">                              </w:t>
      </w:r>
    </w:p>
    <w:p w:rsidR="00A27B8D" w:rsidRDefault="00A27B8D">
      <w:pPr>
        <w:pStyle w:val="BodyA"/>
      </w:pPr>
    </w:p>
    <w:p w:rsidR="00A27B8D" w:rsidRDefault="006F1E45">
      <w:pPr>
        <w:pStyle w:val="BodyA"/>
        <w:rPr>
          <w:b/>
          <w:bCs/>
        </w:rPr>
      </w:pPr>
      <w:r>
        <w:t xml:space="preserve">                     </w:t>
      </w:r>
      <w:r>
        <w:rPr>
          <w:b/>
          <w:bCs/>
        </w:rPr>
        <w:t>Further Developments for Psychoanalytic Study</w:t>
      </w:r>
    </w:p>
    <w:p w:rsidR="00A27B8D" w:rsidRDefault="00A27B8D">
      <w:pPr>
        <w:pStyle w:val="BodyA"/>
      </w:pPr>
    </w:p>
    <w:p w:rsidR="00A27B8D" w:rsidRDefault="006F1E45">
      <w:pPr>
        <w:pStyle w:val="BodyA"/>
      </w:pPr>
      <w:r>
        <w:t xml:space="preserve">We will meet twice a month, from October-May on the second and fourth Wednesdays, (excepting December and May when we will meet just the 2nd Wednesday) from 7-9 pm. </w:t>
      </w:r>
    </w:p>
    <w:p w:rsidR="00A27B8D" w:rsidRDefault="006F1E45">
      <w:pPr>
        <w:pStyle w:val="BodyA"/>
      </w:pPr>
      <w:r>
        <w:t>Topics will include the following; Dreams and their clinical use, oedipal theory and its c</w:t>
      </w:r>
      <w:r>
        <w:t>linical relevance from multiple perspectives and how work with children has informed the analytic undertaking.</w:t>
      </w:r>
    </w:p>
    <w:p w:rsidR="00A27B8D" w:rsidRDefault="006F1E45">
      <w:pPr>
        <w:pStyle w:val="BodyA"/>
      </w:pPr>
      <w:r>
        <w:t>We will read relevant classical authors as well as contemporary writers from the French, British Object Relations and American perspectives. We h</w:t>
      </w:r>
      <w:r>
        <w:t>ope to continue developing a breadth and depth of analytic perspectives to encourage analytic thinking and to stimulate clinical questions for those clinicians who are deeply engaged in their work.</w:t>
      </w:r>
    </w:p>
    <w:p w:rsidR="00A27B8D" w:rsidRDefault="00A27B8D">
      <w:pPr>
        <w:pStyle w:val="BodyA"/>
      </w:pPr>
    </w:p>
    <w:p w:rsidR="00A27B8D" w:rsidRDefault="00A27B8D">
      <w:pPr>
        <w:pStyle w:val="BodyA"/>
      </w:pPr>
    </w:p>
    <w:p w:rsidR="00A27B8D" w:rsidRDefault="006F1E45">
      <w:pPr>
        <w:pStyle w:val="BodyA"/>
      </w:pPr>
      <w:r>
        <w:rPr>
          <w:b/>
          <w:bCs/>
        </w:rPr>
        <w:t>October 13, 2010: Faculty</w:t>
      </w:r>
      <w:r>
        <w:rPr>
          <w:b/>
          <w:bCs/>
          <w:i/>
          <w:iCs/>
        </w:rPr>
        <w:t xml:space="preserve">: Sharon Dennett and available </w:t>
      </w:r>
      <w:r>
        <w:rPr>
          <w:b/>
          <w:bCs/>
          <w:i/>
          <w:iCs/>
        </w:rPr>
        <w:t>VPSG members.</w:t>
      </w:r>
      <w:r>
        <w:t xml:space="preserve">    </w:t>
      </w:r>
      <w:r>
        <w:rPr>
          <w:b/>
          <w:bCs/>
        </w:rPr>
        <w:t>Parsons</w:t>
      </w:r>
      <w:r>
        <w:t>. 1984,1985: Psychoanalysis as Vocation and Martial Art, Int.R.Psycho-Anal.,11:453-462 and a Response by Parsons in the Int.R.Psycho-Anal.,12:363-364.</w:t>
      </w:r>
    </w:p>
    <w:p w:rsidR="00A27B8D" w:rsidRDefault="00A27B8D">
      <w:pPr>
        <w:pStyle w:val="BodyA"/>
      </w:pPr>
    </w:p>
    <w:p w:rsidR="00A27B8D" w:rsidRDefault="006F1E45">
      <w:pPr>
        <w:pStyle w:val="BodyA"/>
      </w:pPr>
      <w:r>
        <w:rPr>
          <w:b/>
          <w:bCs/>
        </w:rPr>
        <w:t>October 27, 2010</w:t>
      </w:r>
      <w:r>
        <w:t xml:space="preserve">: </w:t>
      </w:r>
      <w:r>
        <w:rPr>
          <w:b/>
          <w:bCs/>
          <w:i/>
          <w:iCs/>
        </w:rPr>
        <w:t>Faculty: Doug Dennett</w:t>
      </w:r>
      <w:r>
        <w:t xml:space="preserve">  </w:t>
      </w:r>
    </w:p>
    <w:p w:rsidR="00A27B8D" w:rsidRDefault="006F1E45">
      <w:pPr>
        <w:pStyle w:val="BodyA"/>
      </w:pPr>
      <w:r>
        <w:t xml:space="preserve"> </w:t>
      </w:r>
      <w:r>
        <w:rPr>
          <w:b/>
          <w:bCs/>
        </w:rPr>
        <w:t>Parsons, M.</w:t>
      </w:r>
      <w:r>
        <w:t xml:space="preserve"> (1999). The Logic of Play</w:t>
      </w:r>
      <w:r>
        <w:t xml:space="preserve"> in Psychoanalysis, Int. J. Psycho-Anal., 80:871-884 (1986) “Suddenly Finding it Really Matters: The Paradox of the Analysts Non-Attachment”, Int.R.Psycho-Anal., 67:475-488. </w:t>
      </w:r>
    </w:p>
    <w:p w:rsidR="00A27B8D" w:rsidRDefault="00A27B8D">
      <w:pPr>
        <w:pStyle w:val="BodyA"/>
      </w:pPr>
    </w:p>
    <w:p w:rsidR="00A27B8D" w:rsidRDefault="006F1E45">
      <w:pPr>
        <w:pStyle w:val="BodyA"/>
        <w:rPr>
          <w:b/>
          <w:bCs/>
          <w:i/>
          <w:iCs/>
        </w:rPr>
      </w:pPr>
      <w:r>
        <w:rPr>
          <w:b/>
          <w:bCs/>
        </w:rPr>
        <w:t>November 10, 2010</w:t>
      </w:r>
      <w:r>
        <w:t xml:space="preserve">: </w:t>
      </w:r>
      <w:r>
        <w:rPr>
          <w:b/>
          <w:bCs/>
          <w:i/>
          <w:iCs/>
        </w:rPr>
        <w:t xml:space="preserve">Faculty: Bill Butler </w:t>
      </w:r>
    </w:p>
    <w:p w:rsidR="00A27B8D" w:rsidRDefault="006F1E45">
      <w:pPr>
        <w:pStyle w:val="BodyA"/>
      </w:pPr>
      <w:r>
        <w:rPr>
          <w:b/>
          <w:bCs/>
        </w:rPr>
        <w:t>Parsons, M</w:t>
      </w:r>
      <w:r>
        <w:t>. (2000) “The Oedipus complex</w:t>
      </w:r>
      <w:r>
        <w:t xml:space="preserve"> as a lifelong developmental process: Sophocles’ Trachiniae” in “The Dove that Returns, The Dove that Vanishes”, Routledge, London. And </w:t>
      </w:r>
      <w:r>
        <w:rPr>
          <w:b/>
          <w:bCs/>
        </w:rPr>
        <w:t>Steiner, John</w:t>
      </w:r>
      <w:r>
        <w:t>. (TBA)</w:t>
      </w:r>
    </w:p>
    <w:p w:rsidR="00A27B8D" w:rsidRDefault="00A27B8D">
      <w:pPr>
        <w:pStyle w:val="BodyA"/>
      </w:pPr>
    </w:p>
    <w:p w:rsidR="00A27B8D" w:rsidRDefault="006F1E45">
      <w:pPr>
        <w:pStyle w:val="BodyA"/>
        <w:rPr>
          <w:b/>
          <w:bCs/>
          <w:i/>
          <w:iCs/>
        </w:rPr>
      </w:pPr>
      <w:r>
        <w:rPr>
          <w:b/>
          <w:bCs/>
        </w:rPr>
        <w:t xml:space="preserve">November 1, 2010: </w:t>
      </w:r>
      <w:r>
        <w:rPr>
          <w:b/>
          <w:bCs/>
          <w:i/>
          <w:iCs/>
        </w:rPr>
        <w:t>Faculty</w:t>
      </w:r>
      <w:r>
        <w:t xml:space="preserve">: </w:t>
      </w:r>
      <w:r>
        <w:rPr>
          <w:b/>
          <w:bCs/>
        </w:rPr>
        <w:t xml:space="preserve">Bert Francke </w:t>
      </w:r>
      <w:r>
        <w:t xml:space="preserve"> </w:t>
      </w:r>
    </w:p>
    <w:p w:rsidR="00A27B8D" w:rsidRDefault="006F1E45">
      <w:pPr>
        <w:pStyle w:val="BodyA"/>
      </w:pPr>
      <w:r>
        <w:t>Dreams I.   Freud Ch.7 and Morton Reisser, (1994) Memory</w:t>
      </w:r>
      <w:r>
        <w:t xml:space="preserve"> in Mind and Brain: What Dream Imagery Reveals: Yale University Press</w:t>
      </w:r>
    </w:p>
    <w:p w:rsidR="00A27B8D" w:rsidRDefault="00A27B8D">
      <w:pPr>
        <w:pStyle w:val="BodyA"/>
      </w:pPr>
    </w:p>
    <w:p w:rsidR="00A27B8D" w:rsidRDefault="006F1E45">
      <w:pPr>
        <w:pStyle w:val="BodyA"/>
      </w:pPr>
      <w:r>
        <w:rPr>
          <w:b/>
          <w:bCs/>
        </w:rPr>
        <w:t>December 8, 2010</w:t>
      </w:r>
      <w:r>
        <w:t>:</w:t>
      </w:r>
      <w:r>
        <w:rPr>
          <w:b/>
          <w:bCs/>
          <w:i/>
          <w:iCs/>
        </w:rPr>
        <w:t xml:space="preserve"> Faculty: Bert Francke</w:t>
      </w:r>
      <w:r>
        <w:t xml:space="preserve">    </w:t>
      </w:r>
    </w:p>
    <w:p w:rsidR="00A27B8D" w:rsidRDefault="006F1E45">
      <w:pPr>
        <w:pStyle w:val="BodyA"/>
      </w:pPr>
      <w:r>
        <w:t>Dreams II.  Clinical Application Discussion. No additional readings assigned.</w:t>
      </w:r>
    </w:p>
    <w:p w:rsidR="00A27B8D" w:rsidRDefault="00A27B8D">
      <w:pPr>
        <w:pStyle w:val="BodyA"/>
      </w:pPr>
    </w:p>
    <w:p w:rsidR="00A27B8D" w:rsidRDefault="006F1E45">
      <w:pPr>
        <w:pStyle w:val="BodyA"/>
        <w:rPr>
          <w:b/>
          <w:bCs/>
        </w:rPr>
      </w:pPr>
      <w:r>
        <w:rPr>
          <w:b/>
          <w:bCs/>
        </w:rPr>
        <w:t>Oedipal Series</w:t>
      </w:r>
      <w:r>
        <w:t>:</w:t>
      </w:r>
      <w:r>
        <w:rPr>
          <w:b/>
          <w:bCs/>
        </w:rPr>
        <w:t xml:space="preserve"> Origins in Freud and Klein followed by Reading</w:t>
      </w:r>
      <w:r>
        <w:rPr>
          <w:b/>
          <w:bCs/>
        </w:rPr>
        <w:t xml:space="preserve"> Classic Authors with Ogden and their thinking on the Oedipal:</w:t>
      </w:r>
    </w:p>
    <w:p w:rsidR="00A27B8D" w:rsidRDefault="00A27B8D">
      <w:pPr>
        <w:pStyle w:val="BodyA"/>
      </w:pPr>
    </w:p>
    <w:p w:rsidR="00A27B8D" w:rsidRDefault="006F1E45">
      <w:pPr>
        <w:pStyle w:val="BodyA"/>
        <w:rPr>
          <w:b/>
          <w:bCs/>
        </w:rPr>
      </w:pPr>
      <w:r>
        <w:rPr>
          <w:b/>
          <w:bCs/>
        </w:rPr>
        <w:t>January 13, 2011:</w:t>
      </w:r>
      <w:r>
        <w:t xml:space="preserve"> </w:t>
      </w:r>
      <w:r>
        <w:rPr>
          <w:b/>
          <w:bCs/>
          <w:i/>
          <w:iCs/>
        </w:rPr>
        <w:t>Faculty: To be announced  * this will most likely be a joint seminar with the Thursday group taught by R Brown from Montreal; confirmation shortly.</w:t>
      </w:r>
    </w:p>
    <w:p w:rsidR="00A27B8D" w:rsidRDefault="006F1E45">
      <w:pPr>
        <w:pStyle w:val="BodyA"/>
      </w:pPr>
      <w:r>
        <w:rPr>
          <w:b/>
          <w:bCs/>
        </w:rPr>
        <w:t>Freud</w:t>
      </w:r>
      <w:r>
        <w:t xml:space="preserve"> (1909) “Little Hans”</w:t>
      </w:r>
      <w:r>
        <w:t xml:space="preserve"> </w:t>
      </w:r>
    </w:p>
    <w:p w:rsidR="00A27B8D" w:rsidRDefault="00A27B8D">
      <w:pPr>
        <w:pStyle w:val="BodyA"/>
      </w:pPr>
    </w:p>
    <w:p w:rsidR="00A27B8D" w:rsidRDefault="006F1E45">
      <w:pPr>
        <w:pStyle w:val="BodyA"/>
        <w:rPr>
          <w:b/>
          <w:bCs/>
          <w:i/>
          <w:iCs/>
        </w:rPr>
      </w:pPr>
      <w:r>
        <w:rPr>
          <w:b/>
          <w:bCs/>
        </w:rPr>
        <w:t>January 26, 2011:</w:t>
      </w:r>
      <w:r>
        <w:rPr>
          <w:b/>
          <w:bCs/>
          <w:i/>
          <w:iCs/>
        </w:rPr>
        <w:t xml:space="preserve"> Faculty: Douglas Betts </w:t>
      </w:r>
    </w:p>
    <w:p w:rsidR="00A27B8D" w:rsidRDefault="006F1E45">
      <w:pPr>
        <w:pStyle w:val="BodyA"/>
      </w:pPr>
      <w:r>
        <w:rPr>
          <w:b/>
          <w:bCs/>
        </w:rPr>
        <w:t>Klein</w:t>
      </w:r>
      <w:r>
        <w:t>: (1928) “Early Stages of the Oedipus Conflict “, Int.,J.Psycho-Anal. 9:167-180.</w:t>
      </w:r>
    </w:p>
    <w:p w:rsidR="00A27B8D" w:rsidRDefault="00A27B8D">
      <w:pPr>
        <w:pStyle w:val="BodyA"/>
      </w:pPr>
    </w:p>
    <w:p w:rsidR="00A27B8D" w:rsidRDefault="00A27B8D">
      <w:pPr>
        <w:pStyle w:val="BodyA"/>
      </w:pPr>
    </w:p>
    <w:p w:rsidR="00A27B8D" w:rsidRDefault="006F1E45">
      <w:pPr>
        <w:pStyle w:val="BodyA"/>
        <w:rPr>
          <w:b/>
          <w:bCs/>
          <w:i/>
          <w:iCs/>
        </w:rPr>
      </w:pPr>
      <w:r>
        <w:rPr>
          <w:b/>
          <w:bCs/>
        </w:rPr>
        <w:t xml:space="preserve">February 9, 2011: </w:t>
      </w:r>
      <w:r>
        <w:rPr>
          <w:b/>
          <w:bCs/>
          <w:i/>
          <w:iCs/>
        </w:rPr>
        <w:t xml:space="preserve"> Faculty: Mina Levinsky-Wohl     </w:t>
      </w:r>
    </w:p>
    <w:p w:rsidR="00A27B8D" w:rsidRDefault="006F1E45">
      <w:pPr>
        <w:pStyle w:val="BodyA"/>
      </w:pPr>
      <w:r>
        <w:rPr>
          <w:b/>
          <w:bCs/>
        </w:rPr>
        <w:t>Ogden:</w:t>
      </w:r>
      <w:r>
        <w:t xml:space="preserve"> (2010) “Why Read Fairbairn” Int. J. Psycho-Anal, 91: 101-118. </w:t>
      </w:r>
      <w:r>
        <w:rPr>
          <w:b/>
          <w:bCs/>
        </w:rPr>
        <w:t>Fa</w:t>
      </w:r>
      <w:r>
        <w:rPr>
          <w:b/>
          <w:bCs/>
        </w:rPr>
        <w:t>irbairn</w:t>
      </w:r>
      <w:r>
        <w:t xml:space="preserve"> (1944) “Endopsychic Structure Considered in Terms of Object Relations”, Int.,J.Psycho-Anal., 25:70-92.</w:t>
      </w:r>
    </w:p>
    <w:p w:rsidR="00A27B8D" w:rsidRDefault="00A27B8D">
      <w:pPr>
        <w:pStyle w:val="BodyA"/>
      </w:pPr>
    </w:p>
    <w:p w:rsidR="00A27B8D" w:rsidRDefault="006F1E45">
      <w:pPr>
        <w:pStyle w:val="BodyA"/>
        <w:rPr>
          <w:b/>
          <w:bCs/>
          <w:i/>
          <w:iCs/>
        </w:rPr>
      </w:pPr>
      <w:r>
        <w:rPr>
          <w:b/>
          <w:bCs/>
        </w:rPr>
        <w:t xml:space="preserve">February 23, 2011: </w:t>
      </w:r>
      <w:r>
        <w:rPr>
          <w:b/>
          <w:bCs/>
          <w:i/>
          <w:iCs/>
        </w:rPr>
        <w:t xml:space="preserve"> Faculty: Douglas Betts  </w:t>
      </w:r>
    </w:p>
    <w:p w:rsidR="00A27B8D" w:rsidRDefault="006F1E45">
      <w:pPr>
        <w:pStyle w:val="BodyA"/>
      </w:pPr>
      <w:r>
        <w:rPr>
          <w:b/>
          <w:bCs/>
        </w:rPr>
        <w:t>Ogden:</w:t>
      </w:r>
      <w:r>
        <w:t xml:space="preserve"> (2001) “Reading Winnicott”  Psychoanal. Q., 70:299-323. ; </w:t>
      </w:r>
      <w:r>
        <w:rPr>
          <w:b/>
          <w:bCs/>
        </w:rPr>
        <w:t xml:space="preserve">Winnincott </w:t>
      </w:r>
      <w:r>
        <w:t>(1958) “The Capacity to</w:t>
      </w:r>
      <w:r>
        <w:t xml:space="preserve"> be Alone”, Int., J.Psycho-Anal. 39:416-420.  </w:t>
      </w:r>
    </w:p>
    <w:p w:rsidR="00A27B8D" w:rsidRDefault="006F1E45">
      <w:pPr>
        <w:pStyle w:val="BodyA"/>
      </w:pPr>
      <w:r>
        <w:t xml:space="preserve">  </w:t>
      </w:r>
    </w:p>
    <w:p w:rsidR="00A27B8D" w:rsidRDefault="006F1E45">
      <w:pPr>
        <w:pStyle w:val="BodyA"/>
      </w:pPr>
      <w:r>
        <w:rPr>
          <w:b/>
          <w:bCs/>
        </w:rPr>
        <w:t xml:space="preserve">March 9, 2011:  </w:t>
      </w:r>
      <w:r>
        <w:rPr>
          <w:b/>
          <w:bCs/>
          <w:i/>
          <w:iCs/>
        </w:rPr>
        <w:t>Faculty: Mina Levinsky-Wohl</w:t>
      </w:r>
      <w:r>
        <w:t xml:space="preserve">  </w:t>
      </w:r>
    </w:p>
    <w:p w:rsidR="00A27B8D" w:rsidRDefault="006F1E45">
      <w:pPr>
        <w:pStyle w:val="BodyA"/>
      </w:pPr>
      <w:r>
        <w:rPr>
          <w:b/>
          <w:bCs/>
        </w:rPr>
        <w:t>Ogden</w:t>
      </w:r>
      <w:r>
        <w:t xml:space="preserve"> (2007) “Reading Harold Searles” Int. J. Psycho-Anal., 88: 353-369; Searles</w:t>
      </w:r>
      <w:r>
        <w:rPr>
          <w:b/>
          <w:bCs/>
        </w:rPr>
        <w:t xml:space="preserve"> </w:t>
      </w:r>
      <w:r>
        <w:t>(1959) “Oedipal Love in the Counter Transference”, Int. J. Psycho-Anal. 40:180-</w:t>
      </w:r>
      <w:r>
        <w:t>190.</w:t>
      </w:r>
    </w:p>
    <w:p w:rsidR="00A27B8D" w:rsidRDefault="00A27B8D">
      <w:pPr>
        <w:pStyle w:val="BodyA"/>
      </w:pPr>
    </w:p>
    <w:p w:rsidR="00A27B8D" w:rsidRDefault="006F1E45">
      <w:pPr>
        <w:pStyle w:val="BodyA"/>
        <w:rPr>
          <w:b/>
          <w:bCs/>
          <w:i/>
          <w:iCs/>
        </w:rPr>
      </w:pPr>
      <w:r>
        <w:rPr>
          <w:b/>
          <w:bCs/>
        </w:rPr>
        <w:t>March 23. 2011:</w:t>
      </w:r>
      <w:r>
        <w:t xml:space="preserve"> </w:t>
      </w:r>
      <w:r>
        <w:rPr>
          <w:b/>
          <w:bCs/>
          <w:i/>
          <w:iCs/>
        </w:rPr>
        <w:t>Faculty: Sharon Dennett</w:t>
      </w:r>
    </w:p>
    <w:p w:rsidR="00A27B8D" w:rsidRDefault="006F1E45">
      <w:pPr>
        <w:pStyle w:val="BodyA"/>
      </w:pPr>
      <w:r>
        <w:rPr>
          <w:b/>
          <w:bCs/>
        </w:rPr>
        <w:t>Chausseguet-Smirgel</w:t>
      </w:r>
      <w:r>
        <w:t xml:space="preserve"> (1964), “Feminine Guilt and the Oedipus Complex” in Reading French Psychoanalysis, Ed. Dana Birkstead-Breen, 2010, Routledge, NY: NY. (Article to be provided</w:t>
      </w:r>
      <w:r>
        <w:rPr>
          <w:b/>
          <w:bCs/>
        </w:rPr>
        <w:t>):  McDougall, J</w:t>
      </w:r>
      <w:r>
        <w:t xml:space="preserve">. (1978) “A Plea </w:t>
      </w:r>
      <w:r>
        <w:t>for a Measure of Abnormality” in Reading French Psychoanalysis (also provided)</w:t>
      </w:r>
    </w:p>
    <w:p w:rsidR="00A27B8D" w:rsidRDefault="00A27B8D">
      <w:pPr>
        <w:pStyle w:val="BodyA"/>
      </w:pPr>
    </w:p>
    <w:p w:rsidR="00A27B8D" w:rsidRDefault="006F1E45">
      <w:pPr>
        <w:pStyle w:val="BodyA"/>
        <w:rPr>
          <w:b/>
          <w:bCs/>
        </w:rPr>
      </w:pPr>
      <w:r>
        <w:rPr>
          <w:b/>
          <w:bCs/>
        </w:rPr>
        <w:t xml:space="preserve">April 13, 2011: </w:t>
      </w:r>
      <w:r>
        <w:rPr>
          <w:b/>
          <w:bCs/>
          <w:i/>
          <w:iCs/>
        </w:rPr>
        <w:t>Faculty: Bill Butler</w:t>
      </w:r>
    </w:p>
    <w:p w:rsidR="00A27B8D" w:rsidRDefault="006F1E45">
      <w:pPr>
        <w:pStyle w:val="BodyA"/>
      </w:pPr>
      <w:r>
        <w:rPr>
          <w:b/>
          <w:bCs/>
        </w:rPr>
        <w:t xml:space="preserve">Ogden (2006) </w:t>
      </w:r>
      <w:r>
        <w:t xml:space="preserve">“Reading Loewald: Oedipus Reconceived”,  Int.J. Psycho-Anal., 87:651-666; </w:t>
      </w:r>
      <w:r>
        <w:rPr>
          <w:b/>
          <w:bCs/>
        </w:rPr>
        <w:t xml:space="preserve">Loewald </w:t>
      </w:r>
      <w:r>
        <w:t xml:space="preserve">(1979) “The waning of the Oedipus Complex”, </w:t>
      </w:r>
      <w:r>
        <w:t>J. Amer. Psychoanal. Assn. 27: 751-775.</w:t>
      </w:r>
    </w:p>
    <w:p w:rsidR="00A27B8D" w:rsidRDefault="00A27B8D">
      <w:pPr>
        <w:pStyle w:val="BodyA"/>
      </w:pPr>
    </w:p>
    <w:p w:rsidR="00A27B8D" w:rsidRDefault="006F1E45">
      <w:pPr>
        <w:pStyle w:val="BodyA"/>
        <w:rPr>
          <w:b/>
          <w:bCs/>
        </w:rPr>
      </w:pPr>
      <w:r>
        <w:rPr>
          <w:b/>
          <w:bCs/>
        </w:rPr>
        <w:t xml:space="preserve">April 27, 2011:  </w:t>
      </w:r>
      <w:r>
        <w:rPr>
          <w:b/>
          <w:bCs/>
          <w:i/>
          <w:iCs/>
        </w:rPr>
        <w:t>Faculty: Doug Dennett</w:t>
      </w:r>
      <w:r>
        <w:rPr>
          <w:b/>
          <w:bCs/>
        </w:rPr>
        <w:t xml:space="preserve"> </w:t>
      </w:r>
    </w:p>
    <w:p w:rsidR="00A27B8D" w:rsidRDefault="006F1E45">
      <w:pPr>
        <w:pStyle w:val="BodyA"/>
        <w:rPr>
          <w:b/>
          <w:bCs/>
        </w:rPr>
      </w:pPr>
      <w:r>
        <w:rPr>
          <w:b/>
          <w:bCs/>
        </w:rPr>
        <w:t xml:space="preserve">Antonino Ferro: </w:t>
      </w:r>
      <w:r>
        <w:t xml:space="preserve">The Forward by </w:t>
      </w:r>
      <w:r>
        <w:rPr>
          <w:b/>
          <w:bCs/>
        </w:rPr>
        <w:t xml:space="preserve">Ogden </w:t>
      </w:r>
      <w:r>
        <w:t xml:space="preserve">in </w:t>
      </w:r>
      <w:r>
        <w:rPr>
          <w:i/>
          <w:iCs/>
        </w:rPr>
        <w:t>Seeds of Illness, Seeds of Recovery</w:t>
      </w:r>
    </w:p>
    <w:p w:rsidR="00A27B8D" w:rsidRDefault="006F1E45">
      <w:pPr>
        <w:pStyle w:val="BodyA"/>
      </w:pPr>
      <w:r>
        <w:t>From the Tyranny of the Superego to the Democracy of Affects: (2005) Ferro (Reading to be provided)</w:t>
      </w:r>
    </w:p>
    <w:p w:rsidR="00A27B8D" w:rsidRDefault="00A27B8D">
      <w:pPr>
        <w:pStyle w:val="BodyA"/>
      </w:pPr>
    </w:p>
    <w:p w:rsidR="00A27B8D" w:rsidRDefault="00A27B8D">
      <w:pPr>
        <w:pStyle w:val="BodyA"/>
      </w:pPr>
    </w:p>
    <w:p w:rsidR="00A27B8D" w:rsidRDefault="006F1E45">
      <w:pPr>
        <w:pStyle w:val="BodyA"/>
        <w:rPr>
          <w:b/>
          <w:bCs/>
          <w:i/>
          <w:iCs/>
        </w:rPr>
      </w:pPr>
      <w:r>
        <w:rPr>
          <w:b/>
          <w:bCs/>
        </w:rPr>
        <w:t>May 11, 2011:</w:t>
      </w:r>
      <w:r>
        <w:rPr>
          <w:b/>
          <w:bCs/>
          <w:i/>
          <w:iCs/>
        </w:rPr>
        <w:t xml:space="preserve"> Faculty: Sharon Dennett and available VPSG members</w:t>
      </w:r>
    </w:p>
    <w:p w:rsidR="00A27B8D" w:rsidRDefault="006F1E45">
      <w:pPr>
        <w:pStyle w:val="BodyA"/>
      </w:pPr>
      <w:r>
        <w:rPr>
          <w:b/>
          <w:bCs/>
        </w:rPr>
        <w:t>Final Seminar:</w:t>
      </w:r>
      <w:r>
        <w:rPr>
          <w:b/>
          <w:bCs/>
          <w:i/>
          <w:iCs/>
        </w:rPr>
        <w:t xml:space="preserve"> </w:t>
      </w:r>
      <w:r>
        <w:t>Reading TBA and Review</w:t>
      </w:r>
    </w:p>
    <w:p w:rsidR="00A27B8D" w:rsidRDefault="00A27B8D">
      <w:pPr>
        <w:pStyle w:val="BodyA"/>
      </w:pPr>
    </w:p>
    <w:p w:rsidR="00A27B8D" w:rsidRDefault="00A27B8D">
      <w:pPr>
        <w:pStyle w:val="BodyA"/>
      </w:pPr>
    </w:p>
    <w:p w:rsidR="00A27B8D" w:rsidRDefault="00A27B8D">
      <w:pPr>
        <w:pStyle w:val="BodyA"/>
      </w:pPr>
    </w:p>
    <w:p w:rsidR="00A27B8D" w:rsidRDefault="00A27B8D">
      <w:pPr>
        <w:pStyle w:val="BodyA"/>
      </w:pPr>
    </w:p>
    <w:p w:rsidR="00A27B8D" w:rsidRDefault="006F1E45">
      <w:pPr>
        <w:pStyle w:val="BodyA"/>
      </w:pPr>
      <w:r>
        <w:t>To register for the seminar send a check payable to “VPSG” for $600* to: VPSG c/o:</w:t>
      </w:r>
    </w:p>
    <w:p w:rsidR="00A27B8D" w:rsidRDefault="006F1E45">
      <w:pPr>
        <w:pStyle w:val="BodyA"/>
      </w:pPr>
      <w:r>
        <w:t xml:space="preserve">Sharon Dennett, 8 Carmichael Street, Essex, Vermont, 05452 </w:t>
      </w:r>
    </w:p>
    <w:p w:rsidR="00A27B8D" w:rsidRDefault="006F1E45">
      <w:pPr>
        <w:pStyle w:val="BodyA"/>
      </w:pPr>
      <w:r>
        <w:t>The</w:t>
      </w:r>
      <w:r>
        <w:t xml:space="preserve"> seminar will be limited to 8 participants and will be fille</w:t>
      </w:r>
      <w:r>
        <w:t>d in order of registration and payments received.</w:t>
      </w:r>
    </w:p>
    <w:p w:rsidR="00A27B8D" w:rsidRDefault="00A27B8D">
      <w:pPr>
        <w:pStyle w:val="BodyA"/>
      </w:pPr>
    </w:p>
    <w:p w:rsidR="00A27B8D" w:rsidRDefault="006F1E45">
      <w:pPr>
        <w:pStyle w:val="BodyA"/>
      </w:pPr>
      <w:r>
        <w:t>Questions may be addressed to Sharon Denne</w:t>
      </w:r>
      <w:r>
        <w:t>t</w:t>
      </w:r>
      <w:r>
        <w:t xml:space="preserve">t at </w:t>
      </w:r>
      <w:hyperlink r:id="rId4" w:history="1">
        <w:r>
          <w:rPr>
            <w:rStyle w:val="Hyperlink0"/>
          </w:rPr>
          <w:t>swdennett@msn.com</w:t>
        </w:r>
      </w:hyperlink>
      <w:r>
        <w:t xml:space="preserve"> or 802-879-0542.</w:t>
      </w:r>
    </w:p>
    <w:p w:rsidR="00A27B8D" w:rsidRDefault="00A27B8D">
      <w:pPr>
        <w:pStyle w:val="BodyA"/>
      </w:pPr>
    </w:p>
    <w:p w:rsidR="00A27B8D" w:rsidRDefault="006F1E45">
      <w:pPr>
        <w:pStyle w:val="BodyA"/>
      </w:pPr>
      <w:r>
        <w:t xml:space="preserve">Seminar leaders </w:t>
      </w:r>
      <w:r>
        <w:t>include Douglas Betts, William Butler, Douglas Dennett, Sharon Dennett Bertold Francke and Mina Levinsky-Wohl all of whom are analysts in private practice in Vermont and members of VPSG.</w:t>
      </w:r>
    </w:p>
    <w:p w:rsidR="00A27B8D" w:rsidRDefault="00A27B8D">
      <w:pPr>
        <w:pStyle w:val="BodyA"/>
        <w:rPr>
          <w:b/>
          <w:bCs/>
          <w:i/>
          <w:iCs/>
        </w:rPr>
      </w:pPr>
    </w:p>
    <w:p w:rsidR="00A27B8D" w:rsidRDefault="006F1E45">
      <w:pPr>
        <w:pStyle w:val="BodyA"/>
      </w:pPr>
      <w:r>
        <w:t>*Fees from seminars are used to develop a funding base for VPSG in o</w:t>
      </w:r>
      <w:r>
        <w:t>rder that we may create further opportunities to study psychoanalysis in Vermont. Instructors are not paid for this series but are donating their time to VPSG.</w:t>
      </w:r>
    </w:p>
    <w:p w:rsidR="00A27B8D" w:rsidRDefault="00A27B8D">
      <w:pPr>
        <w:pStyle w:val="BodyA"/>
      </w:pPr>
    </w:p>
    <w:p w:rsidR="00A27B8D" w:rsidRDefault="006F1E45">
      <w:pPr>
        <w:pStyle w:val="BodyA"/>
      </w:pPr>
      <w:r>
        <w:t>** VPSG (Vermont Psychoanalytic Study Group) was accepted by the IPA (International Psychoanalytical Association) in July 2007</w:t>
      </w:r>
      <w:r>
        <w:t xml:space="preserve"> and is incorporated as a non-profit corporation in Vermont (under VPSI) in July 2008.</w:t>
      </w:r>
    </w:p>
    <w:sectPr w:rsidR="00A27B8D" w:rsidSect="00A27B8D">
      <w:headerReference w:type="even" r:id="rId5"/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B8D" w:rsidRDefault="00A27B8D">
    <w:pPr>
      <w:pStyle w:val="FreeForm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B8D" w:rsidRDefault="00A27B8D">
    <w:pPr>
      <w:pStyle w:val="FreeForm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B8D" w:rsidRDefault="00A27B8D">
    <w:pPr>
      <w:pStyle w:val="FreeForm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B8D" w:rsidRDefault="00A27B8D">
    <w:pPr>
      <w:pStyle w:val="FreeForm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revisionView w:formatting="0"/>
  <w:doNotTrackMoves/>
  <w:defaultTabStop w:val="720"/>
  <w:evenAndOddHeaders/>
  <w:characterSpacingControl w:val="doNotCompress"/>
  <w:compat/>
  <w:rsids>
    <w:rsidRoot w:val="00A27B8D"/>
    <w:rsid w:val="006F1E45"/>
    <w:rsid w:val="00A27B8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27B8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A27B8D"/>
    <w:rPr>
      <w:u w:val="single"/>
    </w:rPr>
  </w:style>
  <w:style w:type="paragraph" w:customStyle="1" w:styleId="FreeForm">
    <w:name w:val="Free Form"/>
    <w:rsid w:val="00A27B8D"/>
    <w:rPr>
      <w:rFonts w:cs="Arial Unicode MS"/>
      <w:color w:val="000000"/>
    </w:rPr>
  </w:style>
  <w:style w:type="paragraph" w:customStyle="1" w:styleId="BodyA">
    <w:name w:val="Body A"/>
    <w:rsid w:val="00A27B8D"/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sid w:val="00A27B8D"/>
    <w:rPr>
      <w:color w:val="0000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wdennett@msn.com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756</Words>
  <Characters>4312</Characters>
  <Application>Microsoft Macintosh Word</Application>
  <DocSecurity>0</DocSecurity>
  <Lines>35</Lines>
  <Paragraphs>8</Paragraphs>
  <ScaleCrop>false</ScaleCrop>
  <Company>University of Vermont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Judith Lewis</cp:lastModifiedBy>
  <cp:revision>2</cp:revision>
  <dcterms:created xsi:type="dcterms:W3CDTF">2019-09-29T19:21:00Z</dcterms:created>
  <dcterms:modified xsi:type="dcterms:W3CDTF">2019-09-29T19:22:00Z</dcterms:modified>
</cp:coreProperties>
</file>